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bookmarkStart w:id="0" w:name="_Hlk105593523"/>
    </w:p>
    <w:p>
      <w:pPr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附件2：</w:t>
      </w:r>
    </w:p>
    <w:p>
      <w:pPr>
        <w:ind w:firstLine="301" w:firstLineChars="100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庙小</w:t>
      </w:r>
      <w:r>
        <w:rPr>
          <w:rFonts w:ascii="宋体" w:hAnsi="宋体" w:cs="宋体"/>
          <w:b/>
          <w:bCs/>
          <w:kern w:val="0"/>
          <w:sz w:val="30"/>
          <w:szCs w:val="30"/>
        </w:rPr>
        <w:t>“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百名教师大走访</w:t>
      </w:r>
      <w:r>
        <w:rPr>
          <w:rFonts w:ascii="宋体" w:hAnsi="宋体" w:cs="宋体"/>
          <w:b/>
          <w:bCs/>
          <w:kern w:val="0"/>
          <w:sz w:val="30"/>
          <w:szCs w:val="30"/>
        </w:rPr>
        <w:t>”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  <w:u w:val="single"/>
          <w:lang w:val="en-US" w:eastAsia="zh-CN"/>
        </w:rPr>
        <w:t>二</w:t>
      </w:r>
      <w:r>
        <w:rPr>
          <w:rFonts w:hint="eastAsia" w:ascii="宋体" w:hAnsi="宋体" w:cs="宋体"/>
          <w:b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年级组被访学生名单</w:t>
      </w:r>
    </w:p>
    <w:tbl>
      <w:tblPr>
        <w:tblStyle w:val="6"/>
        <w:tblW w:w="8522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59"/>
        <w:gridCol w:w="850"/>
        <w:gridCol w:w="1985"/>
        <w:gridCol w:w="1417"/>
        <w:gridCol w:w="176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55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被访学生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  籍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63" w:type="dxa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参与老师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（6）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陶思乐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安徽省宣城市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13606142143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王晔宁、石榴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（6）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蒙帮楠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贵州省黔南州荔波县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18961136991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王晔宁、石榴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（6）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郭昊宇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河南省平顶山市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15251905073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王晔宁、石榴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（6）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赵水诺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安徽省宿州市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18262981290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王晔宁、石榴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（6）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刘欣昊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山东省枣庄市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13401602388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王晔宁、石榴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>
      <w:pPr>
        <w:widowControl/>
        <w:shd w:val="clear" w:color="auto" w:fill="FFFFFF"/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3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ab/>
      </w:r>
    </w:p>
    <w:p>
      <w:pPr>
        <w:widowControl/>
        <w:shd w:val="clear" w:color="auto" w:fill="FFFFFF"/>
        <w:spacing w:line="700" w:lineRule="exact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武进区庙桥小学教师“大家访”活动记录表</w:t>
      </w:r>
    </w:p>
    <w:p>
      <w:pPr>
        <w:spacing w:line="360" w:lineRule="auto"/>
        <w:jc w:val="center"/>
        <w:rPr>
          <w:rFonts w:ascii="仿宋_GB2312" w:hAnsi="仿宋" w:eastAsia="仿宋_GB2312" w:cs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napToGrid w:val="0"/>
          <w:color w:val="000000"/>
          <w:kern w:val="0"/>
          <w:sz w:val="28"/>
          <w:szCs w:val="28"/>
        </w:rPr>
        <w:t>主题：</w:t>
      </w:r>
      <w:r>
        <w:rPr>
          <w:rFonts w:hint="eastAsia" w:ascii="仿宋_GB2312" w:hAnsi="仿宋" w:eastAsia="仿宋_GB2312" w:cs="仿宋"/>
          <w:b/>
          <w:bCs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 w:cs="仿宋"/>
          <w:b/>
          <w:snapToGrid w:val="0"/>
          <w:color w:val="000000"/>
          <w:kern w:val="0"/>
          <w:sz w:val="28"/>
          <w:szCs w:val="28"/>
          <w:u w:val="single"/>
        </w:rPr>
        <w:t xml:space="preserve">关爱学生，健康成长 </w:t>
      </w:r>
    </w:p>
    <w:tbl>
      <w:tblPr>
        <w:tblStyle w:val="6"/>
        <w:tblW w:w="9039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55"/>
        <w:gridCol w:w="1691"/>
        <w:gridCol w:w="241"/>
        <w:gridCol w:w="1099"/>
        <w:gridCol w:w="1241"/>
        <w:gridCol w:w="517"/>
        <w:gridCol w:w="923"/>
        <w:gridCol w:w="147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王晔宁、石榴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陶思乐、蒙帮楠、郭昊宇、赵水诺、刘欣昊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1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陶保忠、蒙学海、郭建伟、胡娜、刘涛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同行教师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石榴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1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家访时间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；2022.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；2022.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；2023.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家访形式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上门家访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6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家访起因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学生学习成绩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不理想，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不守纪律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经常爱和同学讲话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autoSpaceDE w:val="0"/>
              <w:autoSpaceDN w:val="0"/>
              <w:snapToGrid w:val="0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学生性格内向，不擅发言不爱说话，和其他同学有距离感。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3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家访过程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1、全面了解学生的家庭情况、成长环境，以及在家的思想动态、学习表现和生活习惯等。</w:t>
            </w:r>
          </w:p>
          <w:p>
            <w:pPr>
              <w:widowControl/>
              <w:autoSpaceDE w:val="0"/>
              <w:autoSpaceDN w:val="0"/>
              <w:snapToGrid w:val="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2、向家长反馈学生在校思想、学习、交往情况和综合表现等。</w:t>
            </w:r>
          </w:p>
          <w:p>
            <w:pPr>
              <w:widowControl/>
              <w:autoSpaceDE w:val="0"/>
              <w:autoSpaceDN w:val="0"/>
              <w:snapToGrid w:val="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3、征求家长对学校工作、教育发展的意见和建议，对家长关注的热点难点问题及时做好解释、宣传、记录、答复工作。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5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情况分析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孩子在家不听长辈的话，无法静下心来学习。必须要有人看着时，才能认真读书复习。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3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措施与成效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0"/>
              <w:rPr>
                <w:rFonts w:ascii="仿宋_GB2312" w:hAnsi="仿宋" w:eastAsia="仿宋_GB2312" w:cs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sz w:val="28"/>
                <w:szCs w:val="28"/>
              </w:rPr>
              <w:t>爸爸妈妈在平常生活里要多鼓励、夸奖自己的孩子。</w:t>
            </w:r>
          </w:p>
          <w:p>
            <w:pPr>
              <w:pStyle w:val="12"/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0"/>
              <w:rPr>
                <w:rFonts w:ascii="仿宋_GB2312" w:hAnsi="仿宋" w:eastAsia="仿宋_GB2312" w:cs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sz w:val="28"/>
                <w:szCs w:val="28"/>
              </w:rPr>
              <w:t>父母要多和孩子进行沟通。</w:t>
            </w:r>
          </w:p>
          <w:p>
            <w:pPr>
              <w:pStyle w:val="12"/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Chars="0"/>
              <w:rPr>
                <w:rFonts w:ascii="仿宋_GB2312" w:hAnsi="仿宋" w:eastAsia="仿宋_GB2312" w:cs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sz w:val="28"/>
                <w:szCs w:val="28"/>
              </w:rPr>
              <w:t>孩子进步明显。</w:t>
            </w: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家访反思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家长教育孩子时要注意方式方法，不能光靠打骂，要讲道理，从思想上去改变孩子的想法。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ind w:firstLine="140" w:firstLineChars="5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活动掠影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4480560" cy="2113280"/>
                  <wp:effectExtent l="0" t="0" r="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211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eastAsia="zh-CN" w:bidi="zh-CN"/>
              </w:rPr>
              <w:t xml:space="preserve"> 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762375" cy="1776730"/>
                  <wp:effectExtent l="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751" cy="177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</w:pPr>
            <w:r>
              <w:rPr>
                <w:rFonts w:ascii="仿宋_GB2312" w:hAnsi="仿宋" w:cs="仿宋" w:eastAsiaTheme="minorEastAsia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736975" cy="1764665"/>
                  <wp:effectExtent l="0" t="0" r="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054" cy="176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eastAsia="zh-CN" w:bidi="zh-CN"/>
              </w:rPr>
              <w:t xml:space="preserve"> </w:t>
            </w:r>
            <w:r>
              <w:rPr>
                <w:rFonts w:ascii="仿宋_GB2312" w:hAnsi="仿宋" w:cs="仿宋" w:eastAsiaTheme="minorEastAsia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473450" cy="173672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98" cy="173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cs="仿宋" w:eastAsiaTheme="minor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" w:eastAsiaTheme="minorEastAsia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4224020" cy="3168015"/>
                  <wp:effectExtent l="0" t="0" r="508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329" cy="316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val="zh-CN" w:eastAsia="zh-CN" w:bidi="zh-CN"/>
              </w:rPr>
              <w:t xml:space="preserve">  </w:t>
            </w:r>
          </w:p>
        </w:tc>
      </w:tr>
    </w:tbl>
    <w:p>
      <w:pPr>
        <w:widowControl/>
        <w:autoSpaceDE w:val="0"/>
        <w:autoSpaceDN w:val="0"/>
        <w:snapToGrid w:val="0"/>
        <w:jc w:val="center"/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4</w:t>
      </w:r>
    </w:p>
    <w:p>
      <w:pPr>
        <w:spacing w:line="360" w:lineRule="auto"/>
        <w:rPr>
          <w:rFonts w:ascii="方正小标宋简体" w:hAnsi="黑体" w:eastAsia="方正小标宋简体" w:cs="宋体"/>
          <w:color w:val="000000"/>
          <w:kern w:val="0"/>
          <w:sz w:val="40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0"/>
          <w:szCs w:val="44"/>
        </w:rPr>
        <w:t>常州市教育系统教师“大家访”活动案例</w:t>
      </w:r>
    </w:p>
    <w:p>
      <w:pPr>
        <w:spacing w:line="360" w:lineRule="auto"/>
        <w:jc w:val="center"/>
        <w:rPr>
          <w:rFonts w:ascii="仿宋_GB2312" w:hAnsi="仿宋" w:eastAsia="仿宋_GB2312" w:cs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snapToGrid w:val="0"/>
          <w:color w:val="000000"/>
          <w:kern w:val="0"/>
          <w:sz w:val="28"/>
          <w:szCs w:val="28"/>
        </w:rPr>
        <w:t>主题：</w:t>
      </w:r>
      <w:r>
        <w:rPr>
          <w:rFonts w:hint="eastAsia" w:ascii="仿宋_GB2312" w:hAnsi="仿宋" w:eastAsia="仿宋_GB2312" w:cs="仿宋"/>
          <w:b/>
          <w:snapToGrid w:val="0"/>
          <w:color w:val="000000"/>
          <w:kern w:val="0"/>
          <w:sz w:val="28"/>
          <w:szCs w:val="28"/>
          <w:u w:val="single"/>
        </w:rPr>
        <w:t>关爱学生，健康成长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  <w:t>家访起因</w:t>
            </w:r>
          </w:p>
        </w:tc>
        <w:tc>
          <w:tcPr>
            <w:tcW w:w="8611" w:type="dxa"/>
          </w:tcPr>
          <w:p>
            <w:pPr>
              <w:adjustRightInd w:val="0"/>
              <w:snapToGrid w:val="0"/>
              <w:spacing w:before="156" w:beforeLines="50" w:line="288" w:lineRule="auto"/>
              <w:ind w:firstLine="560" w:firstLineChars="200"/>
              <w:rPr>
                <w:rFonts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一个学生的成长，学校教育依然重要，但离不开社会环境和家庭教育，建立“学校、社会、家庭”三位一体的教育网络是让学生健康成长的重要措施，“访万家”活动，就是要让我们教师近距离接触家长，走近孩子的心灵世界，因此，我们参加这次家访活动常有一种神圣的使命，而不是为了应乎形势，走走过程。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  <w:t>家访经过</w:t>
            </w:r>
          </w:p>
        </w:tc>
        <w:tc>
          <w:tcPr>
            <w:tcW w:w="8611" w:type="dxa"/>
          </w:tcPr>
          <w:p>
            <w:pPr>
              <w:adjustRightInd w:val="0"/>
              <w:snapToGrid w:val="0"/>
              <w:spacing w:before="156" w:beforeLines="50"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我和石老师两人夜间行车，乡间小道自是不像城市的马路一般彻夜灯火通明，但一想到我们此次探访的目的，内里一下子热热的，眼前都变得开阔明亮起来。</w:t>
            </w:r>
          </w:p>
          <w:p>
            <w:pPr>
              <w:adjustRightInd w:val="0"/>
              <w:snapToGrid w:val="0"/>
              <w:spacing w:before="156" w:beforeLines="50" w:line="288" w:lineRule="auto"/>
              <w:ind w:firstLine="560" w:firstLineChars="200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经过我和石老师再三衡量，比较了班级里各个孩子的学习情况，最终决定去目前为止都没有进入学习状态的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陈凯乐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小朋友的家看一看。这孩子原本基础就要比一般的小朋友薄弱，上学期费了九牛二虎之力总算没让他落下特别多的进度。然而因为疫情期间家长的不重视，作业断断续续没交过几次，一开学他就如热锅上的蚂蚁，急得不行但没有方向更没有头绪。尚未走进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陈凯乐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家的大门，他的爷爷奶奶就热情的接待了我们。两位老人朴实的笑容中透着一丝局促，面对两位老师他们似乎还有些紧张。从两位老人的讲述中，我们知道了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陈凯乐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的爸爸妈妈工作非常忙碌，经常昼伏夜出，以致一天之内并不能抽出多少时间来和孩子相处。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陈凯乐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自小由爷爷奶奶带大，两位老人知识文化水平不高，面对唯一的孙子自是百依百顺。有时也会被他气急了，但孩子的眼泪一下子就融化了两位老人的心，有再多的怒火孩子一哭也总是瞬间熄灭。而正是在这样缺失父母陪伴，长辈无条件呵护到近乎溺爱，没有人严加管教正确指引的家庭环境之中，使得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陈凯乐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的脾气越来越暴躁，受不得一点委屈和刺激，动辄还手，不知一点退让。他完全没有认识到学习的重要性以及对未来的影响。</w:t>
            </w:r>
          </w:p>
          <w:p>
            <w:pPr>
              <w:adjustRightInd w:val="0"/>
              <w:snapToGrid w:val="0"/>
              <w:spacing w:before="156" w:beforeLines="50"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  <w:t>情况分析</w:t>
            </w:r>
          </w:p>
        </w:tc>
        <w:tc>
          <w:tcPr>
            <w:tcW w:w="8611" w:type="dxa"/>
          </w:tcPr>
          <w:p>
            <w:pPr>
              <w:adjustRightInd w:val="0"/>
              <w:snapToGrid w:val="0"/>
              <w:spacing w:before="156" w:beforeLines="50"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首先，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陈凯乐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的爸爸妈妈工作非常忙碌，经常昼伏夜出，以致一天之内并不能抽出多少时间来和孩子相处。</w:t>
            </w:r>
          </w:p>
          <w:p>
            <w:pPr>
              <w:adjustRightInd w:val="0"/>
              <w:snapToGrid w:val="0"/>
              <w:spacing w:before="156" w:beforeLines="50"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其次，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陈凯乐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自小由爷爷奶奶带大，两位老人知识文化水平不高，面对唯一的孙子自是百依百顺。</w:t>
            </w:r>
          </w:p>
          <w:p>
            <w:pPr>
              <w:adjustRightInd w:val="0"/>
              <w:snapToGrid w:val="0"/>
              <w:spacing w:before="156" w:beforeLines="50" w:line="288" w:lineRule="auto"/>
              <w:ind w:firstLine="560" w:firstLineChars="200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在这样缺失父母陪伴，长辈无条件呵护到近乎溺爱，没有人严加管教正确指引的家庭环境之中，使得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陈凯乐</w:t>
            </w:r>
            <w:bookmarkStart w:id="1" w:name="_GoBack"/>
            <w:bookmarkEnd w:id="1"/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的脾气越来越暴躁，受不得一点委屈和刺激，动辄还手，不知一点退让。他完全没有认识到学习的重要性以及对未来的影响。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  <w:t>措施与成效</w:t>
            </w:r>
          </w:p>
        </w:tc>
        <w:tc>
          <w:tcPr>
            <w:tcW w:w="8611" w:type="dxa"/>
          </w:tcPr>
          <w:p>
            <w:pPr>
              <w:adjustRightInd w:val="0"/>
              <w:snapToGrid w:val="0"/>
              <w:spacing w:before="156" w:beforeLines="50"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了解了情况后，我们给孩子的家长提出了如下建议：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一是无论再忙，每天也要抽出一定时间陪伴孩子共同学习；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二是爸爸妈妈要和爷爷奶奶做好沟通，不能够无原则无条件溺爱孩子；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三是爸爸妈妈也需要在平常生活里要多鼓励、夸奖自己的孩子，提升他对学习的自信心。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通过后期与家长的交流，我了解到他目前在家里的学习状态好了许多。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napToGrid w:val="0"/>
                <w:color w:val="000000"/>
                <w:kern w:val="0"/>
                <w:sz w:val="28"/>
                <w:szCs w:val="28"/>
              </w:rPr>
              <w:t>家访反思</w:t>
            </w:r>
          </w:p>
        </w:tc>
        <w:tc>
          <w:tcPr>
            <w:tcW w:w="8611" w:type="dxa"/>
          </w:tcPr>
          <w:p>
            <w:pPr>
              <w:adjustRightInd w:val="0"/>
              <w:snapToGrid w:val="0"/>
              <w:spacing w:before="156" w:beforeLines="50"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我们将这次家访的特点归纳如下。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一个“目的”：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我们要明确家访的目的是发现问题，提出解决方法，调整师生教育模式，引导家长作出改变，形成家校合力。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两个“关注”：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我们还要对显性的家庭构成和隐性的互动模式予以关注。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首先，关注孩子是否为独生子女家庭，孩子与家里的伙伴的互动模式，关注同伴影响是否积极。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其次，关注隐性的互动模式：关注父母对孩子的一贯评价方式，是消极的还是积极的，如果充满着消极的、负面的评价，就会大大挫伤孩子的信心，让孩子变得悲观、消极，从而无法形成正确的自我评价。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最后，我们还提炼出了家访的两大策略，一是沟通的策略，二是反思的策略。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一、沟通的策略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1.澄清家访目的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我们在家访前，要提前预约，和家长说明家访是寻找学生行为背后的原因，并不是上门“告状”或批评孩子，打消家长和孩子对家访的顾虑，试图转变他们对家访的态度，让家长和学生乐于配合，形成积极的情绪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2.客观陈述事实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在交谈过程中，老师要做的就是一个倾听者，让每个成员都发声，听他们是怎么说的，来进行事实确认并引导他们继续交流，在聊到孩子在校表现的时候，我们也只是讲述在学校的具体行为，陈述客观事实，不带着情绪做道德判断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3.进行开放提问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在家访过程中，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老师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说的很少，主要是让学生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和家长进行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表达，抛出一些问题给学生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和家长，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让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他们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来谈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谈对这个问题或现象的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看法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和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感受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二、反思的策略</w:t>
            </w:r>
          </w:p>
          <w:p>
            <w:pPr>
              <w:adjustRightInd w:val="0"/>
              <w:snapToGrid w:val="0"/>
              <w:spacing w:line="288" w:lineRule="auto"/>
              <w:ind w:left="56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1.撰写家访报告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家访结束后需要对这次家访进行简单地整理和记录，方便后期在学校和学生相处过程中对学生品质的塑造和培养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。在案例里，我客观地列出了家访过程中的表现，分析了这些行为背后可能的原因，并尝试提出建议。</w:t>
            </w:r>
          </w:p>
          <w:p>
            <w:pPr>
              <w:adjustRightInd w:val="0"/>
              <w:snapToGrid w:val="0"/>
              <w:spacing w:line="288" w:lineRule="auto"/>
              <w:ind w:left="56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2.改变固有做法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家长和老师都应作出改变，回到学校，我会反思日常教育行为，有针对性地作出调整和改变，同时，我也会实时跟进，了解学生在家里的表现，凝聚家庭的力量，形成家校合力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ordWrap w:val="0"/>
        <w:spacing w:line="360" w:lineRule="auto"/>
        <w:ind w:firstLine="480"/>
        <w:jc w:val="right"/>
        <w:rPr>
          <w:rFonts w:ascii="仿宋_GB2312" w:hAnsi="仿宋" w:eastAsia="仿宋_GB2312" w:cs="仿宋"/>
          <w:b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snapToGrid w:val="0"/>
          <w:color w:val="000000"/>
          <w:kern w:val="0"/>
          <w:sz w:val="28"/>
          <w:szCs w:val="28"/>
        </w:rPr>
        <w:t>作者：常州市武进区庙桥小学 王晔宁</w:t>
      </w:r>
    </w:p>
    <w:p>
      <w:pPr>
        <w:widowControl/>
        <w:shd w:val="clear" w:color="auto" w:fill="FFFFFF"/>
        <w:spacing w:line="70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5904BB"/>
    <w:multiLevelType w:val="multilevel"/>
    <w:tmpl w:val="6B5904B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xNjBjNjAxYjZiNzQ5OTc2MjdkMDg1YzQzNjQwMDMifQ=="/>
  </w:docVars>
  <w:rsids>
    <w:rsidRoot w:val="001261FB"/>
    <w:rsid w:val="000126F1"/>
    <w:rsid w:val="00066CD3"/>
    <w:rsid w:val="000A145A"/>
    <w:rsid w:val="001261FB"/>
    <w:rsid w:val="001915A6"/>
    <w:rsid w:val="001F4388"/>
    <w:rsid w:val="001F74EF"/>
    <w:rsid w:val="002811B9"/>
    <w:rsid w:val="002B4FA3"/>
    <w:rsid w:val="002F570D"/>
    <w:rsid w:val="003450A4"/>
    <w:rsid w:val="00412474"/>
    <w:rsid w:val="00432040"/>
    <w:rsid w:val="004C5D34"/>
    <w:rsid w:val="0051220F"/>
    <w:rsid w:val="00516C24"/>
    <w:rsid w:val="00596BFA"/>
    <w:rsid w:val="005E5E05"/>
    <w:rsid w:val="006A07E2"/>
    <w:rsid w:val="00772A27"/>
    <w:rsid w:val="00864D1D"/>
    <w:rsid w:val="008A7B6A"/>
    <w:rsid w:val="008B2190"/>
    <w:rsid w:val="008D720F"/>
    <w:rsid w:val="00911B77"/>
    <w:rsid w:val="00931A9E"/>
    <w:rsid w:val="00975DA1"/>
    <w:rsid w:val="009F0C84"/>
    <w:rsid w:val="00A01D1C"/>
    <w:rsid w:val="00A1084E"/>
    <w:rsid w:val="00A277AD"/>
    <w:rsid w:val="00A40CF6"/>
    <w:rsid w:val="00A67BE3"/>
    <w:rsid w:val="00B02946"/>
    <w:rsid w:val="00B03E7C"/>
    <w:rsid w:val="00BB48C7"/>
    <w:rsid w:val="00C13B53"/>
    <w:rsid w:val="00C31BA8"/>
    <w:rsid w:val="00C80744"/>
    <w:rsid w:val="00D141A0"/>
    <w:rsid w:val="00D44FCA"/>
    <w:rsid w:val="00D652A7"/>
    <w:rsid w:val="00D8213B"/>
    <w:rsid w:val="00E32474"/>
    <w:rsid w:val="00E7385A"/>
    <w:rsid w:val="00EA4196"/>
    <w:rsid w:val="00EB1A08"/>
    <w:rsid w:val="00EC3815"/>
    <w:rsid w:val="00ED1F9D"/>
    <w:rsid w:val="00F11798"/>
    <w:rsid w:val="00F604B7"/>
    <w:rsid w:val="00FD0A7A"/>
    <w:rsid w:val="00FD2E53"/>
    <w:rsid w:val="03167028"/>
    <w:rsid w:val="07E86BEC"/>
    <w:rsid w:val="0B707741"/>
    <w:rsid w:val="0CED06B2"/>
    <w:rsid w:val="100643F4"/>
    <w:rsid w:val="24C6754F"/>
    <w:rsid w:val="303135DC"/>
    <w:rsid w:val="3BA553AD"/>
    <w:rsid w:val="41B31005"/>
    <w:rsid w:val="473B5547"/>
    <w:rsid w:val="4A3573FD"/>
    <w:rsid w:val="513C5A12"/>
    <w:rsid w:val="568017C1"/>
    <w:rsid w:val="7358022D"/>
    <w:rsid w:val="7B5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8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F148-C45D-4D12-8FA7-51B371667A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410</Words>
  <Characters>2338</Characters>
  <Lines>19</Lines>
  <Paragraphs>5</Paragraphs>
  <TotalTime>4</TotalTime>
  <ScaleCrop>false</ScaleCrop>
  <LinksUpToDate>false</LinksUpToDate>
  <CharactersWithSpaces>2743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2023-05-04T08:32:00Z</dcterms:created>
  <dc:creator>陈彩云</dc:creator>
  <cp:lastModifiedBy>晒猫狂魔十四酱</cp:lastModifiedBy>
  <dcterms:modified xsi:type="dcterms:W3CDTF">2024-01-24T03:41:14Z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186519558134469FA49ECB067C68FEEA_13</vt:lpwstr>
  </property>
</Properties>
</file>